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F9" w:rsidRDefault="004529F9" w:rsidP="004529F9">
      <w:pPr>
        <w:pStyle w:val="cmjNASLOV"/>
      </w:pPr>
      <w:r>
        <w:t xml:space="preserve">Teško krvarenje i višestruko presađivanje bubrega kod pacijentice s tuberozno skleroznim kompleksom uzrokovanim novom </w:t>
      </w:r>
      <w:r w:rsidRPr="00A253C8">
        <w:t>pogr</w:t>
      </w:r>
      <w:r>
        <w:t>e</w:t>
      </w:r>
      <w:r w:rsidRPr="00A253C8">
        <w:t>šnom</w:t>
      </w:r>
      <w:r>
        <w:rPr>
          <w:i/>
        </w:rPr>
        <w:t xml:space="preserve"> </w:t>
      </w:r>
      <w:r w:rsidRPr="00A253C8">
        <w:rPr>
          <w:i/>
        </w:rPr>
        <w:t>TSC2</w:t>
      </w:r>
      <w:r>
        <w:t xml:space="preserve"> varijantom</w:t>
      </w:r>
    </w:p>
    <w:p w:rsidR="004529F9" w:rsidRPr="00E26373" w:rsidRDefault="004529F9" w:rsidP="004529F9">
      <w:pPr>
        <w:pStyle w:val="cmjTEXT"/>
        <w:rPr>
          <w:rFonts w:eastAsia="MyriadPro-Light"/>
        </w:rPr>
      </w:pPr>
      <w:r w:rsidRPr="00E26373">
        <w:rPr>
          <w:rFonts w:eastAsia="MyriadPro-Light"/>
        </w:rPr>
        <w:t xml:space="preserve">Predstavljamo iznimno težak slučaj pacijentice </w:t>
      </w:r>
      <w:r>
        <w:rPr>
          <w:rFonts w:eastAsia="MyriadPro-Light"/>
        </w:rPr>
        <w:t xml:space="preserve">s </w:t>
      </w:r>
      <w:r w:rsidRPr="00E26373">
        <w:rPr>
          <w:rFonts w:eastAsia="MyriadPro-Light"/>
        </w:rPr>
        <w:t>tuberozno sklerozn</w:t>
      </w:r>
      <w:r>
        <w:rPr>
          <w:rFonts w:eastAsia="MyriadPro-Light"/>
        </w:rPr>
        <w:t>im</w:t>
      </w:r>
      <w:r w:rsidRPr="00E26373">
        <w:rPr>
          <w:rFonts w:eastAsia="MyriadPro-Light"/>
        </w:rPr>
        <w:t xml:space="preserve"> kompleks</w:t>
      </w:r>
      <w:r>
        <w:rPr>
          <w:rFonts w:eastAsia="MyriadPro-Light"/>
        </w:rPr>
        <w:t>om</w:t>
      </w:r>
      <w:r w:rsidRPr="00E26373">
        <w:rPr>
          <w:rFonts w:eastAsia="MyriadPro-Light"/>
        </w:rPr>
        <w:t xml:space="preserve"> </w:t>
      </w:r>
      <w:r>
        <w:rPr>
          <w:rFonts w:eastAsia="MyriadPro-Light"/>
        </w:rPr>
        <w:t>i</w:t>
      </w:r>
      <w:r w:rsidRPr="00E26373">
        <w:rPr>
          <w:rFonts w:eastAsia="MyriadPro-Light"/>
        </w:rPr>
        <w:t xml:space="preserve"> ponavljajućim</w:t>
      </w:r>
      <w:r>
        <w:rPr>
          <w:rFonts w:eastAsia="MyriadPro-Light"/>
        </w:rPr>
        <w:t>,</w:t>
      </w:r>
      <w:r w:rsidRPr="00E26373">
        <w:rPr>
          <w:rFonts w:eastAsia="MyriadPro-Light"/>
        </w:rPr>
        <w:t xml:space="preserve"> po život opasnim</w:t>
      </w:r>
      <w:r>
        <w:rPr>
          <w:rFonts w:eastAsia="MyriadPro-Light"/>
        </w:rPr>
        <w:t>,</w:t>
      </w:r>
      <w:r w:rsidRPr="00E26373">
        <w:rPr>
          <w:rFonts w:eastAsia="MyriadPro-Light"/>
        </w:rPr>
        <w:t xml:space="preserve"> krvarenj</w:t>
      </w:r>
      <w:r>
        <w:rPr>
          <w:rFonts w:eastAsia="MyriadPro-Light"/>
        </w:rPr>
        <w:t>em</w:t>
      </w:r>
      <w:r w:rsidRPr="00E26373">
        <w:rPr>
          <w:rFonts w:eastAsia="MyriadPro-Light"/>
        </w:rPr>
        <w:t xml:space="preserve"> povezani</w:t>
      </w:r>
      <w:r>
        <w:rPr>
          <w:rFonts w:eastAsia="MyriadPro-Light"/>
        </w:rPr>
        <w:t>m</w:t>
      </w:r>
      <w:r w:rsidRPr="00E26373">
        <w:rPr>
          <w:rFonts w:eastAsia="MyriadPro-Light"/>
        </w:rPr>
        <w:t xml:space="preserve"> s bubrežnim angiomiolipomima. </w:t>
      </w:r>
      <w:r>
        <w:rPr>
          <w:rFonts w:eastAsia="MyriadPro-Light"/>
        </w:rPr>
        <w:t>Zbog o</w:t>
      </w:r>
      <w:r w:rsidRPr="00E26373">
        <w:rPr>
          <w:rFonts w:eastAsia="MyriadPro-Light"/>
        </w:rPr>
        <w:t>bilno</w:t>
      </w:r>
      <w:r>
        <w:rPr>
          <w:rFonts w:eastAsia="MyriadPro-Light"/>
        </w:rPr>
        <w:t>g</w:t>
      </w:r>
      <w:r w:rsidRPr="00E26373">
        <w:rPr>
          <w:rFonts w:eastAsia="MyriadPro-Light"/>
        </w:rPr>
        <w:t xml:space="preserve"> intratumoralno</w:t>
      </w:r>
      <w:r w:rsidR="00C5376E">
        <w:rPr>
          <w:rFonts w:eastAsia="MyriadPro-Light"/>
        </w:rPr>
        <w:t>g</w:t>
      </w:r>
      <w:r>
        <w:rPr>
          <w:rFonts w:eastAsia="MyriadPro-Light"/>
        </w:rPr>
        <w:t xml:space="preserve"> krvarenja pacijentici su presađena oba bubrega</w:t>
      </w:r>
      <w:r w:rsidRPr="00E26373">
        <w:rPr>
          <w:rFonts w:eastAsia="MyriadPro-Light"/>
        </w:rPr>
        <w:t xml:space="preserve">. </w:t>
      </w:r>
      <w:r>
        <w:rPr>
          <w:rFonts w:eastAsia="MyriadPro-Light"/>
        </w:rPr>
        <w:t>Za vrijeme praćenja</w:t>
      </w:r>
      <w:r w:rsidRPr="00E26373">
        <w:rPr>
          <w:rFonts w:eastAsia="MyriadPro-Light"/>
        </w:rPr>
        <w:t xml:space="preserve"> </w:t>
      </w:r>
      <w:r>
        <w:rPr>
          <w:rFonts w:eastAsia="MyriadPro-Light"/>
        </w:rPr>
        <w:t>došlo je do metroragije</w:t>
      </w:r>
      <w:r w:rsidRPr="00E26373">
        <w:rPr>
          <w:rFonts w:eastAsia="MyriadPro-Light"/>
        </w:rPr>
        <w:t xml:space="preserve">, </w:t>
      </w:r>
      <w:r>
        <w:rPr>
          <w:rFonts w:eastAsia="MyriadPro-Light"/>
        </w:rPr>
        <w:t>te</w:t>
      </w:r>
      <w:r w:rsidRPr="00E26373">
        <w:rPr>
          <w:rFonts w:eastAsia="MyriadPro-Light"/>
        </w:rPr>
        <w:t xml:space="preserve"> je nakon nekog vremena </w:t>
      </w:r>
      <w:r>
        <w:rPr>
          <w:rFonts w:eastAsia="MyriadPro-Light"/>
        </w:rPr>
        <w:t>napravljena histerektomija i salpingo-ooforektomija</w:t>
      </w:r>
      <w:r w:rsidRPr="00E26373">
        <w:rPr>
          <w:rFonts w:eastAsia="MyriadPro-Light"/>
        </w:rPr>
        <w:t>.</w:t>
      </w:r>
    </w:p>
    <w:p w:rsidR="004529F9" w:rsidRPr="00E26373" w:rsidRDefault="004529F9" w:rsidP="004529F9">
      <w:pPr>
        <w:pStyle w:val="cmjTEXT"/>
      </w:pPr>
      <w:r w:rsidRPr="00E26373">
        <w:rPr>
          <w:rFonts w:eastAsia="MyriadPro-Light"/>
        </w:rPr>
        <w:t>Krvarenje iz područja zahvaćenog operacijom dovelo je dio gubitka prvog bubrežnog presatka</w:t>
      </w:r>
      <w:r>
        <w:rPr>
          <w:rFonts w:eastAsia="MyriadPro-Light"/>
        </w:rPr>
        <w:t>,</w:t>
      </w:r>
      <w:r w:rsidRPr="00E26373">
        <w:rPr>
          <w:rFonts w:eastAsia="MyriadPro-Light"/>
        </w:rPr>
        <w:t xml:space="preserve"> kojeg je dobila od majke, a hemoragijski šok koji je netom uslijedio doveo je do gubitka drugog, kadaveričnog presatka.</w:t>
      </w:r>
      <w:r>
        <w:rPr>
          <w:rFonts w:eastAsia="MyriadPro-Light"/>
        </w:rPr>
        <w:t xml:space="preserve"> </w:t>
      </w:r>
      <w:r w:rsidRPr="00E26373">
        <w:rPr>
          <w:rFonts w:eastAsia="MyriadPro-Light"/>
        </w:rPr>
        <w:t xml:space="preserve">Treće presađivanje bubrega bilo je uspješno. Patološka analiza svih tkivnih uzoraka pokazala je lezije povezane s tuberozno skleroznim kompleksom i deformirane krvne žile u kirurški odstranjenim organima. Molekularna genetska analiza </w:t>
      </w:r>
      <w:r w:rsidRPr="00E26373">
        <w:rPr>
          <w:rFonts w:eastAsia="MyriadPro-Light"/>
          <w:i/>
          <w:iCs/>
        </w:rPr>
        <w:t xml:space="preserve">TSC1 </w:t>
      </w:r>
      <w:r w:rsidRPr="00E26373">
        <w:rPr>
          <w:rFonts w:eastAsia="MyriadPro-Light"/>
        </w:rPr>
        <w:t xml:space="preserve">i </w:t>
      </w:r>
      <w:r w:rsidRPr="00E26373">
        <w:rPr>
          <w:rFonts w:eastAsia="MyriadPro-Light"/>
          <w:i/>
          <w:iCs/>
        </w:rPr>
        <w:t xml:space="preserve">TSC2 </w:t>
      </w:r>
      <w:r w:rsidRPr="00E26373">
        <w:rPr>
          <w:rFonts w:eastAsia="MyriadPro-Light"/>
        </w:rPr>
        <w:t>u DNA perifernih leukocita</w:t>
      </w:r>
      <w:r w:rsidRPr="00E26373">
        <w:rPr>
          <w:rFonts w:eastAsia="MyriadPro-Light"/>
          <w:i/>
          <w:iCs/>
        </w:rPr>
        <w:t xml:space="preserve"> </w:t>
      </w:r>
      <w:r w:rsidRPr="00E26373">
        <w:rPr>
          <w:rFonts w:eastAsia="MyriadPro-Light"/>
        </w:rPr>
        <w:t xml:space="preserve">identificirala je novu </w:t>
      </w:r>
      <w:r w:rsidRPr="00E26373">
        <w:rPr>
          <w:rFonts w:eastAsia="MyriadPro-Light"/>
          <w:i/>
          <w:iCs/>
        </w:rPr>
        <w:t xml:space="preserve">TSC2 </w:t>
      </w:r>
      <w:r w:rsidRPr="00E26373">
        <w:rPr>
          <w:rFonts w:eastAsia="MyriadPro-Light"/>
        </w:rPr>
        <w:t>c.3599G&gt;C (p.R1200P) varijantu</w:t>
      </w:r>
      <w:r>
        <w:rPr>
          <w:rFonts w:eastAsia="MyriadPro-Light"/>
        </w:rPr>
        <w:t>, čija je vjerojatna patogenost utvrđena</w:t>
      </w:r>
      <w:r w:rsidRPr="00E26373">
        <w:rPr>
          <w:rFonts w:eastAsia="MyriadPro-Light"/>
        </w:rPr>
        <w:t xml:space="preserve"> </w:t>
      </w:r>
      <w:r>
        <w:rPr>
          <w:rFonts w:eastAsia="MyriadPro-Light"/>
        </w:rPr>
        <w:t>f</w:t>
      </w:r>
      <w:r w:rsidRPr="00E26373">
        <w:rPr>
          <w:rFonts w:eastAsia="MyriadPro-Light"/>
        </w:rPr>
        <w:t>unkcionaln</w:t>
      </w:r>
      <w:r>
        <w:rPr>
          <w:rFonts w:eastAsia="MyriadPro-Light"/>
        </w:rPr>
        <w:t>om</w:t>
      </w:r>
      <w:r w:rsidRPr="00E26373">
        <w:rPr>
          <w:rFonts w:eastAsia="MyriadPro-Light"/>
        </w:rPr>
        <w:t xml:space="preserve"> procjen</w:t>
      </w:r>
      <w:r>
        <w:rPr>
          <w:rFonts w:eastAsia="MyriadPro-Light"/>
        </w:rPr>
        <w:t>om</w:t>
      </w:r>
      <w:r w:rsidRPr="00E26373">
        <w:rPr>
          <w:rFonts w:eastAsia="MyriadPro-Light"/>
        </w:rPr>
        <w:t>. Koliko nam je poznato</w:t>
      </w:r>
      <w:r>
        <w:rPr>
          <w:rFonts w:eastAsia="MyriadPro-Light"/>
        </w:rPr>
        <w:t>,</w:t>
      </w:r>
      <w:r w:rsidRPr="00E26373">
        <w:rPr>
          <w:rFonts w:eastAsia="MyriadPro-Light"/>
        </w:rPr>
        <w:t xml:space="preserve"> ovo je prvi prikaz varijante c.3599G&gt;C(p.R1200P) na eksonu 29 </w:t>
      </w:r>
      <w:r w:rsidRPr="00E26373">
        <w:rPr>
          <w:rFonts w:eastAsia="MyriadPro-Light"/>
          <w:i/>
          <w:iCs/>
        </w:rPr>
        <w:t xml:space="preserve">TSC2 </w:t>
      </w:r>
      <w:r w:rsidRPr="00E26373">
        <w:rPr>
          <w:rFonts w:eastAsia="MyriadPro-Light"/>
        </w:rPr>
        <w:t>gena povezane s kompliciranim kliničkim tijekom i višestrukim presađivanjem bubrega kod pacijen</w:t>
      </w:r>
      <w:r>
        <w:rPr>
          <w:rFonts w:eastAsia="MyriadPro-Light"/>
        </w:rPr>
        <w:t>ata s tuberozno sklerozn</w:t>
      </w:r>
      <w:bookmarkStart w:id="0" w:name="_GoBack"/>
      <w:bookmarkEnd w:id="0"/>
      <w:r w:rsidRPr="00E26373">
        <w:rPr>
          <w:rFonts w:eastAsia="MyriadPro-Light"/>
        </w:rPr>
        <w:t>im kompleksom.</w:t>
      </w:r>
    </w:p>
    <w:p w:rsidR="008C73CA" w:rsidRPr="006B4B08" w:rsidRDefault="008C73CA" w:rsidP="004529F9">
      <w:pPr>
        <w:pStyle w:val="cmjTEXT"/>
        <w:rPr>
          <w:rFonts w:eastAsia="MyriadPro-Light"/>
        </w:rPr>
      </w:pPr>
    </w:p>
    <w:p w:rsidR="008C73CA" w:rsidRPr="0021426C" w:rsidRDefault="008C73CA" w:rsidP="0021426C">
      <w:pPr>
        <w:rPr>
          <w:szCs w:val="28"/>
        </w:rPr>
      </w:pPr>
    </w:p>
    <w:sectPr w:rsidR="008C73CA" w:rsidRPr="0021426C" w:rsidSect="0065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115A2E"/>
    <w:rsid w:val="0021426C"/>
    <w:rsid w:val="0025656B"/>
    <w:rsid w:val="004529F9"/>
    <w:rsid w:val="004751E6"/>
    <w:rsid w:val="004968AC"/>
    <w:rsid w:val="004D45D5"/>
    <w:rsid w:val="005E787D"/>
    <w:rsid w:val="00652FBD"/>
    <w:rsid w:val="006B4B08"/>
    <w:rsid w:val="00724843"/>
    <w:rsid w:val="007B4DCB"/>
    <w:rsid w:val="007C30A2"/>
    <w:rsid w:val="00845499"/>
    <w:rsid w:val="008C73CA"/>
    <w:rsid w:val="008D1DB8"/>
    <w:rsid w:val="008E68A8"/>
    <w:rsid w:val="009276EE"/>
    <w:rsid w:val="009D6DDC"/>
    <w:rsid w:val="00A27F64"/>
    <w:rsid w:val="00A448E0"/>
    <w:rsid w:val="00A450C2"/>
    <w:rsid w:val="00A51D68"/>
    <w:rsid w:val="00A57B1A"/>
    <w:rsid w:val="00AA48EA"/>
    <w:rsid w:val="00AB71BE"/>
    <w:rsid w:val="00AE2753"/>
    <w:rsid w:val="00B5713F"/>
    <w:rsid w:val="00B61A90"/>
    <w:rsid w:val="00B80954"/>
    <w:rsid w:val="00BF592E"/>
    <w:rsid w:val="00C533EE"/>
    <w:rsid w:val="00C5376E"/>
    <w:rsid w:val="00C73CB2"/>
    <w:rsid w:val="00D76FAF"/>
    <w:rsid w:val="00E46DAD"/>
    <w:rsid w:val="00F03D96"/>
    <w:rsid w:val="00F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4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uiPriority w:val="99"/>
    <w:rsid w:val="00724843"/>
    <w:pPr>
      <w:spacing w:after="0" w:line="240" w:lineRule="auto"/>
    </w:pPr>
    <w:rPr>
      <w:rFonts w:ascii="Calibri Light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724843"/>
    <w:rPr>
      <w:rFonts w:ascii="Calibri Light" w:eastAsia="Times New Roman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uiPriority w:val="99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uiPriority w:val="99"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2</cp:revision>
  <dcterms:created xsi:type="dcterms:W3CDTF">2018-05-14T05:46:00Z</dcterms:created>
  <dcterms:modified xsi:type="dcterms:W3CDTF">2018-05-14T05:46:00Z</dcterms:modified>
</cp:coreProperties>
</file>